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A5A" w:rsidRDefault="00D809C9">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#108                                    </w:t>
      </w:r>
      <w:r w:rsidR="00BD3FFD" w:rsidRPr="00BD3FFD">
        <w:rPr>
          <w:rFonts w:eastAsia="DengXian"/>
          <w:b/>
          <w:i/>
          <w:noProof/>
          <w:sz w:val="24"/>
          <w:lang w:eastAsia="en-US"/>
        </w:rPr>
        <w:t>R2-1915907</w:t>
      </w:r>
      <w:bookmarkStart w:id="0" w:name="_GoBack"/>
      <w:bookmarkEnd w:id="0"/>
    </w:p>
    <w:p w:rsidR="00543A5A" w:rsidRDefault="00D809C9">
      <w:pPr>
        <w:tabs>
          <w:tab w:val="left" w:pos="1985"/>
          <w:tab w:val="left" w:pos="8931"/>
        </w:tabs>
        <w:spacing w:after="60" w:line="288" w:lineRule="auto"/>
        <w:rPr>
          <w:rFonts w:eastAsia="DengXian"/>
          <w:b/>
          <w:noProof/>
          <w:sz w:val="24"/>
          <w:lang w:eastAsia="en-US"/>
        </w:rPr>
      </w:pPr>
      <w:r>
        <w:rPr>
          <w:rFonts w:eastAsia="DengXian"/>
          <w:b/>
          <w:noProof/>
          <w:sz w:val="24"/>
          <w:lang w:eastAsia="en-US"/>
        </w:rPr>
        <w:t>Reno, NV, USA, November 18 – November 22, 2019</w:t>
      </w:r>
    </w:p>
    <w:p w:rsidR="00543A5A" w:rsidRDefault="00543A5A">
      <w:pPr>
        <w:tabs>
          <w:tab w:val="left" w:pos="1985"/>
          <w:tab w:val="left" w:pos="8931"/>
        </w:tabs>
        <w:spacing w:after="60" w:line="288" w:lineRule="auto"/>
        <w:rPr>
          <w:rFonts w:eastAsiaTheme="minorEastAsia"/>
          <w:b/>
          <w:noProof/>
          <w:sz w:val="24"/>
          <w:lang w:eastAsia="ko-KR"/>
        </w:rPr>
      </w:pPr>
    </w:p>
    <w:p w:rsidR="00543A5A" w:rsidRDefault="00D809C9">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6.7.2.3 (NR_IIOT-Core)</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Dicussion on EHC feedback</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43A5A" w:rsidRDefault="00D809C9">
      <w:pPr>
        <w:pStyle w:val="1"/>
        <w:numPr>
          <w:ilvl w:val="0"/>
          <w:numId w:val="1"/>
        </w:numPr>
        <w:rPr>
          <w:rFonts w:ascii="Times New Roman" w:hAnsi="Times New Roman" w:cs="Times New Roman"/>
        </w:rPr>
      </w:pPr>
      <w:r>
        <w:rPr>
          <w:rFonts w:ascii="Times New Roman" w:eastAsia="맑은 고딕" w:hAnsi="Times New Roman" w:cs="Times New Roman"/>
          <w:lang w:val="en-US" w:eastAsia="ko-KR"/>
        </w:rPr>
        <w:t>Introduction</w:t>
      </w:r>
      <w:bookmarkStart w:id="1" w:name="_Ref178064866"/>
    </w:p>
    <w:p w:rsidR="00543A5A" w:rsidRDefault="00D809C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RAN2#107bis meeting, the following agreements </w:t>
      </w:r>
      <w:r>
        <w:rPr>
          <w:rFonts w:ascii="Times New Roman" w:eastAsia="맑은 고딕" w:hAnsi="Times New Roman"/>
          <w:sz w:val="22"/>
          <w:lang w:eastAsia="ko-KR"/>
        </w:rPr>
        <w:t>were</w:t>
      </w:r>
      <w:r>
        <w:rPr>
          <w:rFonts w:ascii="Times New Roman" w:eastAsia="맑은 고딕" w:hAnsi="Times New Roman" w:hint="eastAsia"/>
          <w:sz w:val="22"/>
          <w:lang w:eastAsia="ko-KR"/>
        </w:rPr>
        <w:t xml:space="preserve"> made.</w:t>
      </w:r>
    </w:p>
    <w:tbl>
      <w:tblPr>
        <w:tblStyle w:val="af7"/>
        <w:tblW w:w="0" w:type="auto"/>
        <w:tblLook w:val="04A0" w:firstRow="1" w:lastRow="0" w:firstColumn="1" w:lastColumn="0" w:noHBand="0" w:noVBand="1"/>
      </w:tblPr>
      <w:tblGrid>
        <w:gridCol w:w="9629"/>
      </w:tblGrid>
      <w:tr w:rsidR="00543A5A">
        <w:tc>
          <w:tcPr>
            <w:tcW w:w="9629" w:type="dxa"/>
          </w:tcPr>
          <w:p w:rsidR="00543A5A" w:rsidRDefault="00D809C9">
            <w:pPr>
              <w:pStyle w:val="Agreement"/>
              <w:tabs>
                <w:tab w:val="clear" w:pos="1980"/>
                <w:tab w:val="num" w:pos="1620"/>
              </w:tabs>
              <w:ind w:left="454"/>
              <w:rPr>
                <w:lang w:val="en-US"/>
              </w:rPr>
            </w:pPr>
            <w:r>
              <w:rPr>
                <w:lang w:val="en-US"/>
              </w:rPr>
              <w:t>For context establishment the compressor send the full header and the context ID via PDCP data PDU</w:t>
            </w:r>
          </w:p>
          <w:p w:rsidR="00543A5A" w:rsidRDefault="00D809C9">
            <w:pPr>
              <w:pStyle w:val="Agreement"/>
              <w:tabs>
                <w:tab w:val="clear" w:pos="1980"/>
                <w:tab w:val="num" w:pos="1620"/>
              </w:tabs>
              <w:ind w:left="454"/>
              <w:rPr>
                <w:lang w:val="en-US"/>
              </w:rPr>
            </w:pPr>
            <w:r>
              <w:rPr>
                <w:lang w:val="en-US"/>
              </w:rPr>
              <w:t>ROHC and EHC are independent, e.g. from specification point of view they could both be configured for a DRB.</w:t>
            </w:r>
          </w:p>
          <w:p w:rsidR="00543A5A" w:rsidRDefault="00D809C9">
            <w:pPr>
              <w:pStyle w:val="Agreement"/>
              <w:tabs>
                <w:tab w:val="clear" w:pos="1980"/>
                <w:tab w:val="num" w:pos="1620"/>
              </w:tabs>
              <w:ind w:left="454"/>
              <w:rPr>
                <w:highlight w:val="yellow"/>
                <w:lang w:val="en-US"/>
              </w:rPr>
            </w:pPr>
            <w:r>
              <w:rPr>
                <w:highlight w:val="yellow"/>
                <w:lang w:val="en-US"/>
              </w:rPr>
              <w:t>FFS if for context establishment the explicit feedback is sent via PDCP control PDU.</w:t>
            </w:r>
          </w:p>
          <w:p w:rsidR="00543A5A" w:rsidRDefault="00D809C9">
            <w:pPr>
              <w:pStyle w:val="Agreement"/>
              <w:tabs>
                <w:tab w:val="clear" w:pos="1980"/>
                <w:tab w:val="num" w:pos="1620"/>
              </w:tabs>
              <w:ind w:left="454"/>
              <w:rPr>
                <w:lang w:val="en-US"/>
              </w:rPr>
            </w:pPr>
            <w:r>
              <w:rPr>
                <w:lang w:val="en-US"/>
              </w:rPr>
              <w:t xml:space="preserve">For context establishment the de-compressor sends an explicit feedback to the compressor after the establishment of the context, i.e. when a full header packet is received with a context id. </w:t>
            </w:r>
          </w:p>
          <w:p w:rsidR="00543A5A" w:rsidRDefault="00D809C9">
            <w:pPr>
              <w:pStyle w:val="Agreement"/>
              <w:tabs>
                <w:tab w:val="clear" w:pos="1980"/>
                <w:tab w:val="num" w:pos="1620"/>
              </w:tabs>
              <w:ind w:left="454"/>
              <w:rPr>
                <w:lang w:val="en-US"/>
              </w:rPr>
            </w:pPr>
            <w:r>
              <w:rPr>
                <w:lang w:val="en-US"/>
              </w:rPr>
              <w:t>For context establishment the explicit feedback includes the “Context ID”.</w:t>
            </w:r>
          </w:p>
          <w:p w:rsidR="00543A5A" w:rsidRDefault="00D809C9">
            <w:pPr>
              <w:pStyle w:val="Agreement"/>
              <w:tabs>
                <w:tab w:val="clear" w:pos="1980"/>
                <w:tab w:val="num" w:pos="1620"/>
              </w:tabs>
              <w:ind w:left="454"/>
              <w:rPr>
                <w:lang w:val="en-US"/>
              </w:rPr>
            </w:pPr>
            <w:r>
              <w:rPr>
                <w:lang w:val="en-US"/>
              </w:rPr>
              <w:t xml:space="preserve">When the compressor receives the feedback it is confident that the context is successfully established, and from this time compressed header packets can be transmitted. </w:t>
            </w:r>
          </w:p>
        </w:tc>
      </w:tr>
    </w:tbl>
    <w:p w:rsidR="00543A5A" w:rsidRDefault="00543A5A">
      <w:pPr>
        <w:jc w:val="left"/>
        <w:rPr>
          <w:rFonts w:ascii="Times New Roman" w:eastAsia="맑은 고딕" w:hAnsi="Times New Roman"/>
          <w:sz w:val="22"/>
          <w:lang w:eastAsia="ko-KR"/>
        </w:rPr>
      </w:pPr>
    </w:p>
    <w:p w:rsidR="00543A5A" w:rsidRDefault="00D809C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discuss the FFS point </w:t>
      </w:r>
      <w:r>
        <w:rPr>
          <w:rFonts w:ascii="Times New Roman" w:eastAsia="맑은 고딕" w:hAnsi="Times New Roman"/>
          <w:sz w:val="22"/>
          <w:lang w:eastAsia="ko-KR"/>
        </w:rPr>
        <w:t>highlighted above. In addition, we show our views on prevention of the unnecessary transmission for the EHC feedback.</w:t>
      </w:r>
    </w:p>
    <w:p w:rsidR="00543A5A" w:rsidRDefault="00543A5A">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r>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ascii="Times New Roman" w:eastAsia="맑은 고딕" w:hAnsi="Times New Roman" w:hint="eastAsia"/>
          <w:sz w:val="22"/>
          <w:lang w:eastAsia="ko-KR"/>
        </w:rPr>
        <w:t xml:space="preserve"> </w:t>
      </w:r>
    </w:p>
    <w:p w:rsidR="00543A5A" w:rsidRDefault="00D809C9">
      <w:pPr>
        <w:jc w:val="left"/>
        <w:rPr>
          <w:rFonts w:ascii="Times New Roman" w:eastAsia="맑은 고딕" w:hAnsi="Times New Roman"/>
          <w:sz w:val="22"/>
          <w:lang w:eastAsia="ko-KR"/>
        </w:rPr>
      </w:pPr>
      <w:r>
        <w:rPr>
          <w:rFonts w:ascii="Times New Roman" w:eastAsia="맑은 고딕" w:hAnsi="Times New Roman"/>
          <w:sz w:val="22"/>
          <w:lang w:eastAsia="ko-KR"/>
        </w:rPr>
        <w:t>During 107#54 email discussion, it was discussed whether the EHC feedback is carried on the PDCP Control PDU or PDCP Data PDU with no data. During the discussion, only one company suggested that the EHC feedback is carried on PDCP Data PDU with no data. Since the PDCP Data PDU can be duplicated, the reliability of EHC feedback can be increased if the EHC feedback is carried on PDCP Data PDU with no data.</w:t>
      </w:r>
    </w:p>
    <w:p w:rsidR="00543A5A" w:rsidRDefault="00D809C9">
      <w:pPr>
        <w:jc w:val="left"/>
        <w:rPr>
          <w:rFonts w:ascii="Times New Roman" w:eastAsia="맑은 고딕" w:hAnsi="Times New Roman"/>
          <w:sz w:val="22"/>
          <w:lang w:eastAsia="ko-KR"/>
        </w:rPr>
      </w:pPr>
      <w:r>
        <w:rPr>
          <w:rFonts w:ascii="Times New Roman" w:eastAsia="맑은 고딕" w:hAnsi="Times New Roman"/>
          <w:sz w:val="22"/>
          <w:lang w:eastAsia="ko-KR"/>
        </w:rPr>
        <w:t>However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even if the EHC feedback is carried on the PDCP Control PDU, the reliability of the EHC feedback can be ensured by the multiple transmission of the EHC feedback. In addition, considering that the PDCP Control PDU for interspersed ROHC feedback is already introduced, the PDCP Control PDU for interspersed EHC feedback can be easily implemented. </w:t>
      </w:r>
    </w:p>
    <w:p w:rsidR="00543A5A" w:rsidRDefault="00D809C9">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we propose that the EHC feedback is sent via PDCP Control PDU.</w:t>
      </w:r>
    </w:p>
    <w:p w:rsidR="00543A5A" w:rsidRDefault="00D809C9">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 EHC feedback is carried on PDCP Control PDU.</w:t>
      </w:r>
    </w:p>
    <w:p w:rsidR="00543A5A" w:rsidRDefault="00543A5A">
      <w:pPr>
        <w:jc w:val="left"/>
        <w:rPr>
          <w:rFonts w:ascii="Times New Roman" w:eastAsia="맑은 고딕" w:hAnsi="Times New Roman"/>
          <w:sz w:val="22"/>
          <w:lang w:eastAsia="ko-KR"/>
        </w:rPr>
      </w:pPr>
    </w:p>
    <w:p w:rsidR="00543A5A" w:rsidRDefault="00D809C9">
      <w:pPr>
        <w:jc w:val="left"/>
        <w:rPr>
          <w:rFonts w:ascii="Times New Roman" w:eastAsia="맑은 고딕" w:hAnsi="Times New Roman"/>
          <w:sz w:val="22"/>
          <w:lang w:eastAsia="ko-KR"/>
        </w:rPr>
      </w:pPr>
      <w:r>
        <w:rPr>
          <w:rFonts w:ascii="Times New Roman" w:eastAsia="맑은 고딕" w:hAnsi="Times New Roman" w:hint="eastAsia"/>
          <w:sz w:val="22"/>
          <w:lang w:eastAsia="ko-KR"/>
        </w:rPr>
        <w:t>According to RAN2#107bis agreements</w:t>
      </w:r>
      <w:r>
        <w:rPr>
          <w:rFonts w:ascii="Times New Roman" w:eastAsia="맑은 고딕" w:hAnsi="Times New Roman"/>
          <w:sz w:val="22"/>
          <w:lang w:eastAsia="ko-KR"/>
        </w:rPr>
        <w:t xml:space="preserve">, the EHC decompressor transmits the EHC feedback to the compressor after the establishment of the context upon receiving the full header packet. In other words, the EHC decompressor always transmits the EHC feedback for each full header packet to the EHC compressor. With this, the reliability of the transmission for the EHC feedback can be enhanced. </w:t>
      </w:r>
    </w:p>
    <w:p w:rsidR="00543A5A" w:rsidRDefault="00D809C9">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However, </w:t>
      </w: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the URLLC traffic requiring high throughput, e.g., VR and AR, is carried on a PDCP entity configured with EHC, lots of EHC feedback would be transmitted to the EHC compressor, which causes a huge waste of radio resources. </w:t>
      </w:r>
    </w:p>
    <w:p w:rsidR="00543A5A" w:rsidRDefault="00D809C9">
      <w:pPr>
        <w:jc w:val="left"/>
        <w:rPr>
          <w:rFonts w:ascii="Times New Roman" w:eastAsia="맑은 고딕" w:hAnsi="Times New Roman"/>
          <w:sz w:val="22"/>
          <w:lang w:eastAsia="ko-KR"/>
        </w:rPr>
      </w:pPr>
      <w:r>
        <w:rPr>
          <w:rFonts w:ascii="Times New Roman" w:eastAsia="맑은 고딕" w:hAnsi="Times New Roman"/>
          <w:sz w:val="22"/>
          <w:lang w:eastAsia="ko-KR"/>
        </w:rPr>
        <w:t>Therefore, 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order to minimize the waste of radio resource due to the EHC feedback transmission, a prohibit mechanism should be considered in EHC feedback transmission. </w:t>
      </w:r>
    </w:p>
    <w:p w:rsidR="00543A5A" w:rsidRDefault="00D809C9">
      <w:pPr>
        <w:jc w:val="left"/>
        <w:rPr>
          <w:rFonts w:ascii="Times New Roman" w:eastAsia="맑은 고딕" w:hAnsi="Times New Roman"/>
          <w:b/>
          <w:sz w:val="22"/>
          <w:lang w:eastAsia="ko-KR"/>
        </w:rPr>
      </w:pPr>
      <w:r>
        <w:rPr>
          <w:rFonts w:ascii="Times New Roman" w:eastAsia="맑은 고딕" w:hAnsi="Times New Roman"/>
          <w:b/>
          <w:sz w:val="22"/>
          <w:lang w:eastAsia="ko-KR"/>
        </w:rPr>
        <w:t>Proposal 2. A prohibit mechanism in EHC feedback transmission should be considered.</w:t>
      </w:r>
    </w:p>
    <w:p w:rsidR="00543A5A" w:rsidRDefault="00543A5A">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lang w:val="en-US" w:eastAsia="ko-KR"/>
        </w:rPr>
        <w:t>Conclusion</w:t>
      </w:r>
    </w:p>
    <w:p w:rsidR="00543A5A" w:rsidRDefault="00D809C9">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discuss </w:t>
      </w:r>
      <w:r>
        <w:rPr>
          <w:rFonts w:ascii="Times New Roman" w:eastAsia="맑은 고딕" w:hAnsi="Times New Roman"/>
          <w:sz w:val="22"/>
          <w:lang w:eastAsia="ko-KR"/>
        </w:rPr>
        <w:t>whether the EHC feedback is carried on PDCP Control PDU or PDCP Data PDU with no data. In addition, we show our views on prevention of the unnecessary transmission for the EHC feedback. Based on the above discussion, we propose followings.</w:t>
      </w:r>
    </w:p>
    <w:p w:rsidR="00543A5A" w:rsidRDefault="00D809C9">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 EHC feedback is carried on PDCP Control PDU.</w:t>
      </w:r>
    </w:p>
    <w:p w:rsidR="00543A5A" w:rsidRDefault="00D809C9">
      <w:pPr>
        <w:jc w:val="left"/>
        <w:rPr>
          <w:rFonts w:ascii="Times New Roman" w:eastAsia="맑은 고딕" w:hAnsi="Times New Roman"/>
          <w:b/>
          <w:sz w:val="22"/>
          <w:lang w:eastAsia="ko-KR"/>
        </w:rPr>
      </w:pPr>
      <w:r>
        <w:rPr>
          <w:rFonts w:ascii="Times New Roman" w:eastAsia="맑은 고딕" w:hAnsi="Times New Roman"/>
          <w:b/>
          <w:sz w:val="22"/>
          <w:lang w:eastAsia="ko-KR"/>
        </w:rPr>
        <w:t>Proposal 2. A prohibit mechanism in EHC feedback transmission should be considered.</w:t>
      </w:r>
    </w:p>
    <w:p w:rsidR="00543A5A" w:rsidRDefault="00543A5A">
      <w:pPr>
        <w:jc w:val="left"/>
        <w:rPr>
          <w:rFonts w:ascii="Times New Roman" w:eastAsia="맑은 고딕" w:hAnsi="Times New Roman"/>
          <w:b/>
          <w:sz w:val="22"/>
          <w:lang w:eastAsia="ko-KR"/>
        </w:rPr>
      </w:pPr>
    </w:p>
    <w:p w:rsidR="00543A5A" w:rsidRDefault="00543A5A">
      <w:pPr>
        <w:rPr>
          <w:rFonts w:eastAsia="맑은 고딕"/>
        </w:rPr>
      </w:pPr>
    </w:p>
    <w:sectPr w:rsidR="00543A5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1BD" w:rsidRDefault="00BA11BD">
      <w:r>
        <w:separator/>
      </w:r>
    </w:p>
  </w:endnote>
  <w:endnote w:type="continuationSeparator" w:id="0">
    <w:p w:rsidR="00BA11BD" w:rsidRDefault="00BA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543A5A">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1BD" w:rsidRDefault="00BA11BD">
      <w:r>
        <w:separator/>
      </w:r>
    </w:p>
  </w:footnote>
  <w:footnote w:type="continuationSeparator" w:id="0">
    <w:p w:rsidR="00BA11BD" w:rsidRDefault="00BA1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D809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308"/>
        </w:tabs>
        <w:ind w:left="-308" w:hanging="360"/>
      </w:pPr>
      <w:rPr>
        <w:rFonts w:ascii="Courier New" w:hAnsi="Courier New" w:cs="Courier New" w:hint="default"/>
      </w:rPr>
    </w:lvl>
    <w:lvl w:ilvl="2" w:tplc="04090005" w:tentative="1">
      <w:start w:val="1"/>
      <w:numFmt w:val="bullet"/>
      <w:lvlText w:val=""/>
      <w:lvlJc w:val="left"/>
      <w:pPr>
        <w:tabs>
          <w:tab w:val="num" w:pos="412"/>
        </w:tabs>
        <w:ind w:left="412" w:hanging="360"/>
      </w:pPr>
      <w:rPr>
        <w:rFonts w:ascii="Wingdings" w:hAnsi="Wingdings" w:hint="default"/>
      </w:rPr>
    </w:lvl>
    <w:lvl w:ilvl="3" w:tplc="04090001" w:tentative="1">
      <w:start w:val="1"/>
      <w:numFmt w:val="bullet"/>
      <w:lvlText w:val=""/>
      <w:lvlJc w:val="left"/>
      <w:pPr>
        <w:tabs>
          <w:tab w:val="num" w:pos="1132"/>
        </w:tabs>
        <w:ind w:left="1132" w:hanging="360"/>
      </w:pPr>
      <w:rPr>
        <w:rFonts w:ascii="Symbol" w:hAnsi="Symbol" w:hint="default"/>
      </w:rPr>
    </w:lvl>
    <w:lvl w:ilvl="4" w:tplc="04090003" w:tentative="1">
      <w:start w:val="1"/>
      <w:numFmt w:val="bullet"/>
      <w:lvlText w:val="o"/>
      <w:lvlJc w:val="left"/>
      <w:pPr>
        <w:tabs>
          <w:tab w:val="num" w:pos="1852"/>
        </w:tabs>
        <w:ind w:left="1852" w:hanging="360"/>
      </w:pPr>
      <w:rPr>
        <w:rFonts w:ascii="Courier New" w:hAnsi="Courier New" w:cs="Courier New" w:hint="default"/>
      </w:rPr>
    </w:lvl>
    <w:lvl w:ilvl="5" w:tplc="04090005" w:tentative="1">
      <w:start w:val="1"/>
      <w:numFmt w:val="bullet"/>
      <w:lvlText w:val=""/>
      <w:lvlJc w:val="left"/>
      <w:pPr>
        <w:tabs>
          <w:tab w:val="num" w:pos="2572"/>
        </w:tabs>
        <w:ind w:left="2572" w:hanging="360"/>
      </w:pPr>
      <w:rPr>
        <w:rFonts w:ascii="Wingdings" w:hAnsi="Wingdings" w:hint="default"/>
      </w:rPr>
    </w:lvl>
    <w:lvl w:ilvl="6" w:tplc="04090001" w:tentative="1">
      <w:start w:val="1"/>
      <w:numFmt w:val="bullet"/>
      <w:lvlText w:val=""/>
      <w:lvlJc w:val="left"/>
      <w:pPr>
        <w:tabs>
          <w:tab w:val="num" w:pos="3292"/>
        </w:tabs>
        <w:ind w:left="3292" w:hanging="360"/>
      </w:pPr>
      <w:rPr>
        <w:rFonts w:ascii="Symbol" w:hAnsi="Symbol" w:hint="default"/>
      </w:rPr>
    </w:lvl>
    <w:lvl w:ilvl="7" w:tplc="04090003" w:tentative="1">
      <w:start w:val="1"/>
      <w:numFmt w:val="bullet"/>
      <w:lvlText w:val="o"/>
      <w:lvlJc w:val="left"/>
      <w:pPr>
        <w:tabs>
          <w:tab w:val="num" w:pos="4012"/>
        </w:tabs>
        <w:ind w:left="4012" w:hanging="360"/>
      </w:pPr>
      <w:rPr>
        <w:rFonts w:ascii="Courier New" w:hAnsi="Courier New" w:cs="Courier New" w:hint="default"/>
      </w:rPr>
    </w:lvl>
    <w:lvl w:ilvl="8" w:tplc="04090005" w:tentative="1">
      <w:start w:val="1"/>
      <w:numFmt w:val="bullet"/>
      <w:lvlText w:val=""/>
      <w:lvlJc w:val="left"/>
      <w:pPr>
        <w:tabs>
          <w:tab w:val="num" w:pos="4732"/>
        </w:tabs>
        <w:ind w:left="4732" w:hanging="360"/>
      </w:pPr>
      <w:rPr>
        <w:rFonts w:ascii="Wingdings" w:hAnsi="Wingdings" w:hint="default"/>
      </w:rPr>
    </w:lvl>
  </w:abstractNum>
  <w:abstractNum w:abstractNumId="18"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14"/>
  </w:num>
  <w:num w:numId="10">
    <w:abstractNumId w:val="20"/>
  </w:num>
  <w:num w:numId="11">
    <w:abstractNumId w:val="19"/>
  </w:num>
  <w:num w:numId="12">
    <w:abstractNumId w:val="16"/>
  </w:num>
  <w:num w:numId="13">
    <w:abstractNumId w:val="4"/>
  </w:num>
  <w:num w:numId="14">
    <w:abstractNumId w:val="18"/>
  </w:num>
  <w:num w:numId="15">
    <w:abstractNumId w:val="1"/>
  </w:num>
  <w:num w:numId="16">
    <w:abstractNumId w:val="2"/>
  </w:num>
  <w:num w:numId="17">
    <w:abstractNumId w:val="21"/>
  </w:num>
  <w:num w:numId="18">
    <w:abstractNumId w:val="8"/>
  </w:num>
  <w:num w:numId="19">
    <w:abstractNumId w:val="0"/>
  </w:num>
  <w:num w:numId="20">
    <w:abstractNumId w:val="12"/>
  </w:num>
  <w:num w:numId="21">
    <w:abstractNumId w:val="7"/>
  </w:num>
  <w:num w:numId="22">
    <w:abstractNumId w:val="3"/>
  </w:num>
  <w:num w:numId="23">
    <w:abstractNumId w:val="17"/>
  </w:num>
  <w:num w:numId="2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A5A"/>
    <w:rsid w:val="00543A5A"/>
    <w:rsid w:val="00BA11BD"/>
    <w:rsid w:val="00BD3FFD"/>
    <w:rsid w:val="00D775D2"/>
    <w:rsid w:val="00D809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Agreement">
    <w:name w:val="Agreement"/>
    <w:basedOn w:val="a0"/>
    <w:next w:val="Doc-text2"/>
    <w:pPr>
      <w:numPr>
        <w:numId w:val="23"/>
      </w:numPr>
      <w:tabs>
        <w:tab w:val="num" w:pos="1980"/>
      </w:tabs>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7B88F144-DB53-491D-AE2D-9DDCCEB5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TotalTime>
  <Pages>2</Pages>
  <Words>517</Words>
  <Characters>2952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6</cp:revision>
  <cp:lastPrinted>2017-09-25T07:27:00Z</cp:lastPrinted>
  <dcterms:created xsi:type="dcterms:W3CDTF">2019-11-07T06:39:00Z</dcterms:created>
  <dcterms:modified xsi:type="dcterms:W3CDTF">2019-11-08T01:04:00Z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